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2" w:rsidRDefault="00302142" w:rsidP="004B0ACC">
      <w:pPr>
        <w:spacing w:after="0" w:line="240" w:lineRule="auto"/>
        <w:rPr>
          <w:b/>
        </w:rPr>
      </w:pPr>
    </w:p>
    <w:p w:rsidR="002432FF" w:rsidRPr="004B0ACC" w:rsidRDefault="004B0ACC" w:rsidP="004B0ACC">
      <w:pPr>
        <w:spacing w:after="0" w:line="240" w:lineRule="auto"/>
        <w:rPr>
          <w:b/>
        </w:rPr>
      </w:pPr>
      <w:r w:rsidRPr="004B0ACC">
        <w:rPr>
          <w:b/>
        </w:rPr>
        <w:t>CÔNG TY CỔ PHẦN CẤP NƯỚC</w:t>
      </w:r>
      <w:r w:rsidR="00A164AF">
        <w:rPr>
          <w:b/>
        </w:rPr>
        <w:t xml:space="preserve">      </w:t>
      </w:r>
      <w:r w:rsidRPr="004B0ACC">
        <w:rPr>
          <w:b/>
        </w:rPr>
        <w:t xml:space="preserve">  CỘNG HÒA XÃ HỘI CHỦ NGHĨA VIỆT NAM</w:t>
      </w:r>
    </w:p>
    <w:p w:rsidR="004B0ACC" w:rsidRDefault="004B0ACC" w:rsidP="004B0ACC">
      <w:pPr>
        <w:spacing w:after="0" w:line="240" w:lineRule="auto"/>
        <w:rPr>
          <w:b/>
        </w:rPr>
      </w:pPr>
      <w:r w:rsidRPr="004B0ACC">
        <w:rPr>
          <w:b/>
        </w:rPr>
        <w:t xml:space="preserve">          </w:t>
      </w:r>
      <w:r w:rsidR="00FC3FB0">
        <w:rPr>
          <w:b/>
        </w:rPr>
        <w:t xml:space="preserve">    T</w:t>
      </w:r>
      <w:r w:rsidRPr="004B0ACC">
        <w:rPr>
          <w:b/>
        </w:rPr>
        <w:t xml:space="preserve">HANH HÓA                                          </w:t>
      </w:r>
      <w:r w:rsidR="00A164AF">
        <w:rPr>
          <w:b/>
        </w:rPr>
        <w:t xml:space="preserve">     </w:t>
      </w:r>
      <w:r w:rsidRPr="004B0ACC">
        <w:rPr>
          <w:b/>
        </w:rPr>
        <w:t xml:space="preserve"> </w:t>
      </w:r>
      <w:proofErr w:type="spellStart"/>
      <w:r w:rsidRPr="004B0ACC">
        <w:rPr>
          <w:b/>
        </w:rPr>
        <w:t>Độc</w:t>
      </w:r>
      <w:proofErr w:type="spellEnd"/>
      <w:r w:rsidRPr="004B0ACC">
        <w:rPr>
          <w:b/>
        </w:rPr>
        <w:t xml:space="preserve"> </w:t>
      </w:r>
      <w:proofErr w:type="spellStart"/>
      <w:r w:rsidRPr="004B0ACC">
        <w:rPr>
          <w:b/>
        </w:rPr>
        <w:t>lập</w:t>
      </w:r>
      <w:proofErr w:type="spellEnd"/>
      <w:r w:rsidRPr="004B0ACC">
        <w:rPr>
          <w:b/>
        </w:rPr>
        <w:t xml:space="preserve"> – </w:t>
      </w:r>
      <w:proofErr w:type="spellStart"/>
      <w:r w:rsidRPr="004B0ACC">
        <w:rPr>
          <w:b/>
        </w:rPr>
        <w:t>Tự</w:t>
      </w:r>
      <w:proofErr w:type="spellEnd"/>
      <w:r w:rsidRPr="004B0ACC">
        <w:rPr>
          <w:b/>
        </w:rPr>
        <w:t xml:space="preserve"> do – </w:t>
      </w:r>
      <w:proofErr w:type="spellStart"/>
      <w:r w:rsidRPr="004B0ACC">
        <w:rPr>
          <w:b/>
        </w:rPr>
        <w:t>Hạnh</w:t>
      </w:r>
      <w:proofErr w:type="spellEnd"/>
      <w:r w:rsidRPr="004B0ACC">
        <w:rPr>
          <w:b/>
        </w:rPr>
        <w:t xml:space="preserve"> </w:t>
      </w:r>
      <w:proofErr w:type="spellStart"/>
      <w:r w:rsidRPr="004B0ACC">
        <w:rPr>
          <w:b/>
        </w:rPr>
        <w:t>phúc</w:t>
      </w:r>
      <w:proofErr w:type="spellEnd"/>
    </w:p>
    <w:p w:rsidR="00897E8F" w:rsidRPr="004B0ACC" w:rsidRDefault="00897E8F" w:rsidP="004B0ACC">
      <w:pPr>
        <w:spacing w:after="0" w:line="240" w:lineRule="auto"/>
        <w:rPr>
          <w:b/>
        </w:rPr>
      </w:pPr>
    </w:p>
    <w:p w:rsidR="00897E8F" w:rsidRDefault="00897E8F">
      <w:pPr>
        <w:spacing w:after="0" w:line="240" w:lineRule="auto"/>
        <w:rPr>
          <w:b/>
        </w:rPr>
      </w:pPr>
    </w:p>
    <w:p w:rsidR="00A164AF" w:rsidRDefault="00C73C04" w:rsidP="00976380">
      <w:pPr>
        <w:spacing w:after="0" w:line="240" w:lineRule="auto"/>
        <w:jc w:val="center"/>
        <w:rPr>
          <w:b/>
        </w:rPr>
      </w:pPr>
      <w:r>
        <w:rPr>
          <w:b/>
        </w:rPr>
        <w:t xml:space="preserve">NHỮNG THAY ĐỔI </w:t>
      </w:r>
    </w:p>
    <w:p w:rsidR="004B0ACC" w:rsidRDefault="00B43501" w:rsidP="00976380">
      <w:pPr>
        <w:spacing w:after="0" w:line="240" w:lineRule="auto"/>
        <w:jc w:val="center"/>
        <w:rPr>
          <w:b/>
        </w:rPr>
      </w:pPr>
      <w:r>
        <w:rPr>
          <w:b/>
        </w:rPr>
        <w:t>CỦA LUẬT DOANH NGHIỆP 2020 SO VỚI LUẬT DANH NGHIỆP 2014</w:t>
      </w:r>
    </w:p>
    <w:p w:rsidR="004B0ACC" w:rsidRDefault="00B43501" w:rsidP="00B43501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</w:p>
    <w:p w:rsidR="001E5AE3" w:rsidRDefault="001E5AE3" w:rsidP="00302142">
      <w:pPr>
        <w:spacing w:after="0" w:line="360" w:lineRule="auto"/>
        <w:jc w:val="both"/>
        <w:rPr>
          <w:rFonts w:cs="Times New Roman"/>
          <w:i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497"/>
      </w:tblGrid>
      <w:tr w:rsidR="00A164AF" w:rsidTr="00A164AF">
        <w:tc>
          <w:tcPr>
            <w:tcW w:w="1101" w:type="dxa"/>
          </w:tcPr>
          <w:p w:rsidR="00A164AF" w:rsidRDefault="00A164AF" w:rsidP="00897E8F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9497" w:type="dxa"/>
          </w:tcPr>
          <w:p w:rsidR="00A164AF" w:rsidRDefault="00A164AF" w:rsidP="00897E8F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Nội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dung</w:t>
            </w:r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A164A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A164AF" w:rsidRDefault="00A164AF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114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115 LDN 2020</w:t>
            </w:r>
          </w:p>
          <w:p w:rsidR="00A164AF" w:rsidRPr="003F5BC4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nhóm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đặc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biệt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như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Khởi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hủy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bỏ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ĐHĐCĐ,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yêu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triệu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A164AF" w:rsidRPr="003F5BC4">
              <w:rPr>
                <w:rFonts w:cs="Times New Roman"/>
                <w:sz w:val="26"/>
                <w:szCs w:val="26"/>
              </w:rPr>
              <w:t>tập</w:t>
            </w:r>
            <w:proofErr w:type="spellEnd"/>
            <w:r w:rsidR="00A164AF" w:rsidRPr="003F5BC4">
              <w:rPr>
                <w:rFonts w:cs="Times New Roman"/>
                <w:sz w:val="26"/>
                <w:szCs w:val="26"/>
              </w:rPr>
              <w:t xml:space="preserve"> ĐHĐCĐ</w:t>
            </w:r>
            <w:r w:rsidR="003F5BC4" w:rsidRPr="003F5BC4">
              <w:rPr>
                <w:rFonts w:cs="Times New Roman"/>
                <w:sz w:val="26"/>
                <w:szCs w:val="26"/>
              </w:rPr>
              <w:t>…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đây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nắm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giữ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tỷ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10%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6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; nay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còn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 1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là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nắm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giữu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05%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cần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nắm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giữu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06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riêng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cử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vào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HĐQT, BKS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vẫn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giữ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tỷ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10%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nhưng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qui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tỷ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nhỏ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hơn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3F5BC4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3F5BC4" w:rsidRPr="004D11DB" w:rsidRDefault="003F5BC4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D11DB"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 w:rsidRPr="004D11DB">
              <w:rPr>
                <w:rFonts w:cs="Times New Roman"/>
                <w:b/>
                <w:sz w:val="26"/>
                <w:szCs w:val="26"/>
              </w:rPr>
              <w:t xml:space="preserve"> 116 LDN 2014- </w:t>
            </w:r>
            <w:proofErr w:type="spellStart"/>
            <w:r w:rsidRPr="004D11DB"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 w:rsidRPr="004D11DB">
              <w:rPr>
                <w:rFonts w:cs="Times New Roman"/>
                <w:b/>
                <w:sz w:val="26"/>
                <w:szCs w:val="26"/>
              </w:rPr>
              <w:t xml:space="preserve"> 116 LDN 2020</w:t>
            </w:r>
          </w:p>
          <w:p w:rsidR="00A164AF" w:rsidRPr="003F5BC4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cấm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phép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phần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ưu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đãi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biểu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thể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chuyển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nhượng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tòa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án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đã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thừa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kế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3F5BC4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3F5BC4" w:rsidRDefault="003F5BC4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115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119 LDN 2020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sung qui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nghĩa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vụ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bảo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mật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cung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sử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dụng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tin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cung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hiện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lợi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ích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3F5BC4" w:rsidRPr="003F5BC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3F5BC4" w:rsidRPr="003F5BC4">
              <w:rPr>
                <w:rFonts w:cs="Times New Roman"/>
                <w:sz w:val="26"/>
                <w:szCs w:val="26"/>
              </w:rPr>
              <w:t>mình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3F5BC4" w:rsidRDefault="003F5BC4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</w:t>
            </w:r>
            <w:r w:rsidR="00FE7A8A">
              <w:rPr>
                <w:rFonts w:cs="Times New Roman"/>
                <w:b/>
                <w:sz w:val="26"/>
                <w:szCs w:val="26"/>
              </w:rPr>
              <w:t>u</w:t>
            </w:r>
            <w:proofErr w:type="spellEnd"/>
            <w:r w:rsidR="00FE7A8A">
              <w:rPr>
                <w:rFonts w:cs="Times New Roman"/>
                <w:b/>
                <w:sz w:val="26"/>
                <w:szCs w:val="26"/>
              </w:rPr>
              <w:t xml:space="preserve"> 120</w:t>
            </w:r>
            <w:r>
              <w:rPr>
                <w:rFonts w:cs="Times New Roman"/>
                <w:b/>
                <w:sz w:val="26"/>
                <w:szCs w:val="26"/>
              </w:rPr>
              <w:t xml:space="preserve">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</w:t>
            </w:r>
            <w:r w:rsidR="00FE7A8A">
              <w:rPr>
                <w:rFonts w:cs="Times New Roman"/>
                <w:b/>
                <w:sz w:val="26"/>
                <w:szCs w:val="26"/>
              </w:rPr>
              <w:t>u</w:t>
            </w:r>
            <w:proofErr w:type="spellEnd"/>
            <w:r w:rsidR="00FE7A8A">
              <w:rPr>
                <w:rFonts w:cs="Times New Roman"/>
                <w:b/>
                <w:sz w:val="26"/>
                <w:szCs w:val="26"/>
              </w:rPr>
              <w:t xml:space="preserve"> 121</w:t>
            </w:r>
            <w:r>
              <w:rPr>
                <w:rFonts w:cs="Times New Roman"/>
                <w:b/>
                <w:sz w:val="26"/>
                <w:szCs w:val="26"/>
              </w:rPr>
              <w:t xml:space="preserve"> LDN 2020</w:t>
            </w:r>
          </w:p>
          <w:p w:rsidR="00A164AF" w:rsidRPr="00FE7A8A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bỏ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qui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phiếu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mệnh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10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triệu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Việt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Nam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bị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mất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hư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hỏng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bị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hủy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hoại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đề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cấp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phiếu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mới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đăng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về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mất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hư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hỏng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…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15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FE7A8A" w:rsidRDefault="00FE7A8A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135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138 LDN 2020</w:t>
            </w:r>
          </w:p>
          <w:p w:rsidR="00A164AF" w:rsidRPr="00FE7A8A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sung ĐHĐCĐ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(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vay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vay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lớn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hơn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10%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gần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giữa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51%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CP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biể</w:t>
            </w:r>
            <w:r w:rsidR="00B634B4">
              <w:rPr>
                <w:rFonts w:cs="Times New Roman"/>
                <w:sz w:val="26"/>
                <w:szCs w:val="26"/>
              </w:rPr>
              <w:t>u</w:t>
            </w:r>
            <w:bookmarkStart w:id="0" w:name="_GoBack"/>
            <w:bookmarkEnd w:id="0"/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trỏ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đó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FE7A8A" w:rsidRDefault="00FE7A8A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136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139 LDN 2020 (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cuộc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họp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thường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niên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ĐHĐCĐ)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="00FE7A8A">
              <w:rPr>
                <w:rFonts w:cs="Times New Roman"/>
                <w:sz w:val="26"/>
                <w:szCs w:val="26"/>
              </w:rPr>
              <w:t xml:space="preserve">HĐQT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hạn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E7A8A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FE7A8A">
              <w:rPr>
                <w:rFonts w:cs="Times New Roman"/>
                <w:sz w:val="26"/>
                <w:szCs w:val="26"/>
              </w:rPr>
              <w:t xml:space="preserve"> ĐHĐCĐ</w:t>
            </w:r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9497" w:type="dxa"/>
          </w:tcPr>
          <w:p w:rsidR="00081710" w:rsidRDefault="00081710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137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141 LDN 2020 (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sách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CĐ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quyền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dự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họp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>)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Lu</w:t>
            </w:r>
            <w:r>
              <w:rPr>
                <w:rFonts w:cs="Times New Roman"/>
                <w:sz w:val="26"/>
                <w:szCs w:val="26"/>
              </w:rPr>
              <w:t>ậ</w:t>
            </w:r>
            <w:r w:rsidR="00081710">
              <w:rPr>
                <w:rFonts w:cs="Times New Roman"/>
                <w:sz w:val="26"/>
                <w:szCs w:val="26"/>
              </w:rPr>
              <w:t>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DN 2020 qui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thời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gian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DS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quá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10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trước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gửi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mời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(so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05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DN 2014)</w:t>
            </w:r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081710" w:rsidRDefault="00081710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139, 140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143,144 LDN 2020</w:t>
            </w:r>
          </w:p>
          <w:p w:rsidR="00A164AF" w:rsidRPr="00081710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bỏ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qui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lập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theo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do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phát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hành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mà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cần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đáp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qui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sự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, do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đó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gửi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mời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gửi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kèm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giấy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ủy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497" w:type="dxa"/>
          </w:tcPr>
          <w:p w:rsidR="00081710" w:rsidRDefault="00081710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141,144 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145, 148 LDN 2020</w:t>
            </w:r>
          </w:p>
          <w:p w:rsidR="00A164AF" w:rsidRPr="00081710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Tỷ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đủ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kiện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tổ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chức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cuộc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tỷ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lệ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để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ĐHĐCĐ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với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số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dung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thường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lấy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ý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kiến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văn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chỉnh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51%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xuống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còn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081710">
              <w:rPr>
                <w:rFonts w:cs="Times New Roman"/>
                <w:sz w:val="26"/>
                <w:szCs w:val="26"/>
              </w:rPr>
              <w:t>trên</w:t>
            </w:r>
            <w:proofErr w:type="spellEnd"/>
            <w:r w:rsidR="00081710">
              <w:rPr>
                <w:rFonts w:cs="Times New Roman"/>
                <w:sz w:val="26"/>
                <w:szCs w:val="26"/>
              </w:rPr>
              <w:t xml:space="preserve"> 50%</w:t>
            </w:r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645287" w:rsidRDefault="00645287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146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150 LDN 2020 (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Biên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họp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ĐHĐCĐ)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sung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tọa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thư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chối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này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lực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nếu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tất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cả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viên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HĐQT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tham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dự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vầ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rõ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tọa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thư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chối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họp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9497" w:type="dxa"/>
          </w:tcPr>
          <w:p w:rsidR="00645287" w:rsidRDefault="00645287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149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153 LDN 2020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Hội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đồng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quản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trị</w:t>
            </w:r>
            <w:proofErr w:type="spellEnd"/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DN 2020 qui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bất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cứ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nào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cũng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yêu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cầu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khởi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kiệ</w:t>
            </w:r>
            <w:r w:rsidR="00937C93">
              <w:rPr>
                <w:rFonts w:cs="Times New Roman"/>
                <w:sz w:val="26"/>
                <w:szCs w:val="26"/>
              </w:rPr>
              <w:t>n</w:t>
            </w:r>
            <w:proofErr w:type="spellEnd"/>
            <w:r w:rsidR="00937C9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37C93">
              <w:rPr>
                <w:rFonts w:cs="Times New Roman"/>
                <w:sz w:val="26"/>
                <w:szCs w:val="26"/>
              </w:rPr>
              <w:t>hủy</w:t>
            </w:r>
            <w:proofErr w:type="spellEnd"/>
            <w:r w:rsidR="00937C93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bỏ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nghị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HQĐQT.</w:t>
            </w:r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2014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chỉ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CĐ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CP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tục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vòng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01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năm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497" w:type="dxa"/>
          </w:tcPr>
          <w:p w:rsidR="00645287" w:rsidRDefault="004D11DB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   </w:t>
            </w:r>
            <w:proofErr w:type="spellStart"/>
            <w:r w:rsidR="00645287"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 w:rsidR="00645287">
              <w:rPr>
                <w:rFonts w:cs="Times New Roman"/>
                <w:b/>
                <w:sz w:val="26"/>
                <w:szCs w:val="26"/>
              </w:rPr>
              <w:t xml:space="preserve"> 152  LDN 2014- </w:t>
            </w:r>
            <w:proofErr w:type="spellStart"/>
            <w:r w:rsidR="00645287"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 w:rsidR="00645287">
              <w:rPr>
                <w:rFonts w:cs="Times New Roman"/>
                <w:b/>
                <w:sz w:val="26"/>
                <w:szCs w:val="26"/>
              </w:rPr>
              <w:t xml:space="preserve"> 156 LDN 2020</w:t>
            </w:r>
          </w:p>
          <w:p w:rsidR="00A164AF" w:rsidRPr="00645287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sung qui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tịch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HĐQT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đại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chúng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kiêm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nhiệm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đốc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Giám</w:t>
            </w:r>
            <w:proofErr w:type="spellEnd"/>
            <w:r w:rsidR="00645287" w:rsidRP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 w:rsidRPr="00645287">
              <w:rPr>
                <w:rFonts w:cs="Times New Roman"/>
                <w:sz w:val="26"/>
                <w:szCs w:val="26"/>
              </w:rPr>
              <w:t>đốc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9497" w:type="dxa"/>
          </w:tcPr>
          <w:p w:rsidR="00645287" w:rsidRDefault="00645287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154 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158 LDN 2020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Biên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bản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họp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HĐQT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sung qui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tọa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64528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45287">
              <w:rPr>
                <w:rFonts w:cs="Times New Roman"/>
                <w:sz w:val="26"/>
                <w:szCs w:val="26"/>
              </w:rPr>
              <w:t>chối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nhưng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tất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cả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viên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khác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HĐQT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đầy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đủ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dung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họp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thì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biên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vẫn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hiệu</w:t>
            </w:r>
            <w:proofErr w:type="spellEnd"/>
            <w:r w:rsid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>
              <w:rPr>
                <w:rFonts w:cs="Times New Roman"/>
                <w:sz w:val="26"/>
                <w:szCs w:val="26"/>
              </w:rPr>
              <w:t>lực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497" w:type="dxa"/>
          </w:tcPr>
          <w:p w:rsidR="004C3D94" w:rsidRDefault="004C3D94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162 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167 LDN 2020</w:t>
            </w:r>
          </w:p>
          <w:p w:rsidR="00A164AF" w:rsidRPr="004D11DB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sung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bắt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buộc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được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ĐHĐCĐ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thông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qua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dù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dưới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35 %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gần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gồm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Hợp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đồng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giao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dịch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cho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vay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lớn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hơn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10%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tổng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giá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sản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gần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nhất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ty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hữu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r w:rsidR="004C3D94" w:rsidRPr="004C3D94">
              <w:rPr>
                <w:rFonts w:cs="Times New Roman"/>
                <w:sz w:val="26"/>
                <w:szCs w:val="26"/>
              </w:rPr>
              <w:lastRenderedPageBreak/>
              <w:t xml:space="preserve">51% CP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quyền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biểu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quyết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người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cổ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đông</w:t>
            </w:r>
            <w:proofErr w:type="spellEnd"/>
            <w:r w:rsidR="004C3D94" w:rsidRPr="004C3D9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4C3D94">
              <w:rPr>
                <w:rFonts w:cs="Times New Roman"/>
                <w:sz w:val="26"/>
                <w:szCs w:val="26"/>
              </w:rPr>
              <w:t>đó</w:t>
            </w:r>
            <w:proofErr w:type="spellEnd"/>
          </w:p>
        </w:tc>
      </w:tr>
      <w:tr w:rsidR="00A164AF" w:rsidTr="00302142">
        <w:trPr>
          <w:trHeight w:val="335"/>
        </w:trPr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15</w:t>
            </w:r>
          </w:p>
        </w:tc>
        <w:tc>
          <w:tcPr>
            <w:tcW w:w="9497" w:type="dxa"/>
          </w:tcPr>
          <w:p w:rsidR="004C3D94" w:rsidRDefault="004C3D94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163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168 LDN 2020 Ban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soát</w:t>
            </w:r>
            <w:proofErr w:type="spellEnd"/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DN 2020 qui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Trưởng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soát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bằng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tốt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nghiệp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đại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học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trở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lên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thuộc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một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chuyên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nghành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chính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kế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toán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toán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quản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trị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kinh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hoặc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chuyên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nghành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liên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đến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hoạt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C3D94" w:rsidRPr="00897E8F">
              <w:rPr>
                <w:rFonts w:cs="Times New Roman"/>
                <w:sz w:val="26"/>
                <w:szCs w:val="26"/>
              </w:rPr>
              <w:t>động</w:t>
            </w:r>
            <w:proofErr w:type="spellEnd"/>
            <w:r w:rsidR="004C3D94" w:rsidRPr="00897E8F">
              <w:rPr>
                <w:rFonts w:cs="Times New Roman"/>
                <w:sz w:val="26"/>
                <w:szCs w:val="26"/>
              </w:rPr>
              <w:t xml:space="preserve"> SXKD</w:t>
            </w:r>
            <w:r w:rsidR="00897E8F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 w:rsidRPr="00897E8F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897E8F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 w:rsidRPr="00897E8F">
              <w:rPr>
                <w:rFonts w:cs="Times New Roman"/>
                <w:sz w:val="26"/>
                <w:szCs w:val="26"/>
              </w:rPr>
              <w:t>Doanh</w:t>
            </w:r>
            <w:proofErr w:type="spellEnd"/>
            <w:r w:rsidR="00897E8F" w:rsidRP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 w:rsidRPr="00897E8F">
              <w:rPr>
                <w:rFonts w:cs="Times New Roman"/>
                <w:sz w:val="26"/>
                <w:szCs w:val="26"/>
              </w:rPr>
              <w:t>nghiệp</w:t>
            </w:r>
            <w:proofErr w:type="spellEnd"/>
          </w:p>
        </w:tc>
      </w:tr>
      <w:tr w:rsidR="00A164AF" w:rsidTr="004D11DB">
        <w:tc>
          <w:tcPr>
            <w:tcW w:w="1101" w:type="dxa"/>
            <w:vAlign w:val="center"/>
          </w:tcPr>
          <w:p w:rsidR="00A164AF" w:rsidRDefault="00897E8F" w:rsidP="004D11DB">
            <w:pPr>
              <w:spacing w:line="36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497" w:type="dxa"/>
          </w:tcPr>
          <w:p w:rsidR="00897E8F" w:rsidRDefault="00897E8F" w:rsidP="00897E8F">
            <w:pPr>
              <w:spacing w:line="36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170  LDN 2014- </w:t>
            </w:r>
            <w:proofErr w:type="spellStart"/>
            <w:r>
              <w:rPr>
                <w:rFonts w:cs="Times New Roman"/>
                <w:b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b/>
                <w:sz w:val="26"/>
                <w:szCs w:val="26"/>
              </w:rPr>
              <w:t xml:space="preserve"> 175 LDN 2020</w:t>
            </w:r>
          </w:p>
          <w:p w:rsidR="00A164AF" w:rsidRPr="00897E8F" w:rsidRDefault="004D11DB" w:rsidP="00897E8F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Luật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DN 2020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bổ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dung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thêm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“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Báo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cáo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thẩm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của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ban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kiểm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soát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” HĐQT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phải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trình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ĐHĐCĐ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khi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kết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thúc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tài</w:t>
            </w:r>
            <w:proofErr w:type="spellEnd"/>
            <w:r w:rsidR="00897E8F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97E8F">
              <w:rPr>
                <w:rFonts w:cs="Times New Roman"/>
                <w:sz w:val="26"/>
                <w:szCs w:val="26"/>
              </w:rPr>
              <w:t>chính</w:t>
            </w:r>
            <w:proofErr w:type="spellEnd"/>
          </w:p>
        </w:tc>
      </w:tr>
    </w:tbl>
    <w:p w:rsidR="0039120D" w:rsidRPr="00C73C04" w:rsidRDefault="0039120D" w:rsidP="00897E8F">
      <w:pPr>
        <w:spacing w:after="0" w:line="360" w:lineRule="auto"/>
        <w:ind w:firstLine="720"/>
        <w:jc w:val="both"/>
        <w:rPr>
          <w:rFonts w:cs="Times New Roman"/>
          <w:b/>
          <w:sz w:val="26"/>
          <w:szCs w:val="26"/>
        </w:rPr>
      </w:pPr>
    </w:p>
    <w:sectPr w:rsidR="0039120D" w:rsidRPr="00C73C04" w:rsidSect="00302142">
      <w:pgSz w:w="11907" w:h="16840" w:code="9"/>
      <w:pgMar w:top="709" w:right="567" w:bottom="1702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86F"/>
    <w:multiLevelType w:val="hybridMultilevel"/>
    <w:tmpl w:val="40BCF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4FC6"/>
    <w:multiLevelType w:val="hybridMultilevel"/>
    <w:tmpl w:val="9E76B3C2"/>
    <w:lvl w:ilvl="0" w:tplc="43187E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CC"/>
    <w:rsid w:val="00010721"/>
    <w:rsid w:val="00013553"/>
    <w:rsid w:val="00081710"/>
    <w:rsid w:val="001859E8"/>
    <w:rsid w:val="001B0FB9"/>
    <w:rsid w:val="001E5AE3"/>
    <w:rsid w:val="002432FF"/>
    <w:rsid w:val="002B5622"/>
    <w:rsid w:val="002E3721"/>
    <w:rsid w:val="00300733"/>
    <w:rsid w:val="00302142"/>
    <w:rsid w:val="00371B5F"/>
    <w:rsid w:val="0039120D"/>
    <w:rsid w:val="003A3492"/>
    <w:rsid w:val="003A5C2C"/>
    <w:rsid w:val="003F5BC4"/>
    <w:rsid w:val="00426963"/>
    <w:rsid w:val="004465F9"/>
    <w:rsid w:val="004B0ACC"/>
    <w:rsid w:val="004C3D94"/>
    <w:rsid w:val="004D11DB"/>
    <w:rsid w:val="00645287"/>
    <w:rsid w:val="006C5ADF"/>
    <w:rsid w:val="0071057C"/>
    <w:rsid w:val="00881D2F"/>
    <w:rsid w:val="00884E12"/>
    <w:rsid w:val="00897E8F"/>
    <w:rsid w:val="008E237A"/>
    <w:rsid w:val="00905632"/>
    <w:rsid w:val="00937C93"/>
    <w:rsid w:val="00976380"/>
    <w:rsid w:val="00990720"/>
    <w:rsid w:val="00A164AF"/>
    <w:rsid w:val="00A30DE6"/>
    <w:rsid w:val="00AF21BF"/>
    <w:rsid w:val="00B43501"/>
    <w:rsid w:val="00B47D87"/>
    <w:rsid w:val="00B634B4"/>
    <w:rsid w:val="00B70901"/>
    <w:rsid w:val="00BB2ACC"/>
    <w:rsid w:val="00C0761C"/>
    <w:rsid w:val="00C66B0D"/>
    <w:rsid w:val="00C73C04"/>
    <w:rsid w:val="00C978B7"/>
    <w:rsid w:val="00CB6A2A"/>
    <w:rsid w:val="00CB7C76"/>
    <w:rsid w:val="00CF3BAD"/>
    <w:rsid w:val="00FC3FB0"/>
    <w:rsid w:val="00FD597C"/>
    <w:rsid w:val="00FE7A8A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2021-04-13T01:04:00Z</cp:lastPrinted>
  <dcterms:created xsi:type="dcterms:W3CDTF">2021-03-11T02:08:00Z</dcterms:created>
  <dcterms:modified xsi:type="dcterms:W3CDTF">2021-05-05T01:53:00Z</dcterms:modified>
</cp:coreProperties>
</file>